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472c4"/>
          <w:sz w:val="48"/>
          <w:szCs w:val="48"/>
          <w:rtl w:val="0"/>
        </w:rPr>
        <w:t xml:space="preserve">Hoja Informativa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472c4"/>
          <w:sz w:val="48"/>
          <w:szCs w:val="48"/>
          <w:rtl w:val="0"/>
        </w:rPr>
        <w:t xml:space="preserve">Evaluación Rápida de Necesidades de Protección Infantil (CPRA)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472c4"/>
          <w:sz w:val="48"/>
          <w:szCs w:val="48"/>
          <w:rtl w:val="0"/>
        </w:rPr>
        <w:t xml:space="preserve">Noviembre 2011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4472c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Antes de hacer cualquier otra cosa, por favor descargue la guía y léala completa.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Para acceder a los otros componentes del kit de herramientas, contacte a Hani Mansourian en hmansourian@unicef.org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4472c4"/>
          <w:sz w:val="48"/>
          <w:szCs w:val="48"/>
        </w:rPr>
      </w:pPr>
      <w:r w:rsidDel="00000000" w:rsidR="00000000" w:rsidRPr="00000000">
        <w:rPr>
          <w:color w:val="4472c4"/>
          <w:sz w:val="48"/>
          <w:szCs w:val="48"/>
          <w:rtl w:val="0"/>
        </w:rPr>
        <w:t xml:space="preserve">¿Qué es el CPRA y qué no es?</w:t>
      </w:r>
    </w:p>
    <w:p w:rsidR="00000000" w:rsidDel="00000000" w:rsidP="00000000" w:rsidRDefault="00000000" w:rsidRPr="00000000" w14:paraId="00000017">
      <w:pPr>
        <w:rPr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El CPRA proporciona: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sz w:val="36"/>
          <w:szCs w:val="36"/>
          <w:rtl w:val="0"/>
        </w:rPr>
        <w:t xml:space="preserve">n panorama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de las necesidades urgentes relacionadas con la protección infantil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Información “suficientemente buena” y urgente para fines de programación y abogacía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 paso previo hacia evaluaciones de necesidades más completas</w:t>
      </w:r>
    </w:p>
    <w:p w:rsidR="00000000" w:rsidDel="00000000" w:rsidP="00000000" w:rsidRDefault="00000000" w:rsidRPr="00000000" w14:paraId="0000001C">
      <w:pPr>
        <w:jc w:val="both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El CPRA NO es: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Una evaluación integral o un mecanismo de monitoreo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Una herramienta para producir información generalizable a toda la población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 instrumento diseñado para informar la programación a largo plazo</w:t>
      </w:r>
    </w:p>
    <w:p w:rsidR="00000000" w:rsidDel="00000000" w:rsidP="00000000" w:rsidRDefault="00000000" w:rsidRPr="00000000" w14:paraId="00000022">
      <w:pPr>
        <w:jc w:val="both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4472c4"/>
          <w:sz w:val="48"/>
          <w:szCs w:val="48"/>
        </w:rPr>
      </w:pPr>
      <w:r w:rsidDel="00000000" w:rsidR="00000000" w:rsidRPr="00000000">
        <w:rPr>
          <w:color w:val="4472c4"/>
          <w:sz w:val="48"/>
          <w:szCs w:val="48"/>
          <w:rtl w:val="0"/>
        </w:rPr>
        <w:t xml:space="preserve">¿Qué ofrece el kit de herramientas?</w:t>
      </w:r>
    </w:p>
    <w:p w:rsidR="00000000" w:rsidDel="00000000" w:rsidP="00000000" w:rsidRDefault="00000000" w:rsidRPr="00000000" w14:paraId="0000002A">
      <w:pPr>
        <w:rPr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Una serie de herramientas modelo que pueden adaptarse fácilmente a nuevos contextos y utilizarse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Orientación sobre cómo planificar e implementar una evaluación rápida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Una herramienta que facilita enormemente el ingreso y el análisis de datos</w:t>
      </w:r>
    </w:p>
    <w:p w:rsidR="00000000" w:rsidDel="00000000" w:rsidP="00000000" w:rsidRDefault="00000000" w:rsidRPr="00000000" w14:paraId="0000002E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color w:val="4472c4"/>
          <w:sz w:val="48"/>
          <w:szCs w:val="48"/>
        </w:rPr>
      </w:pPr>
      <w:r w:rsidDel="00000000" w:rsidR="00000000" w:rsidRPr="00000000">
        <w:rPr>
          <w:color w:val="4472c4"/>
          <w:sz w:val="48"/>
          <w:szCs w:val="48"/>
          <w:rtl w:val="0"/>
        </w:rPr>
        <w:t xml:space="preserve">Introducción al kit de herramientas</w:t>
      </w:r>
    </w:p>
    <w:p w:rsidR="00000000" w:rsidDel="00000000" w:rsidP="00000000" w:rsidRDefault="00000000" w:rsidRPr="00000000" w14:paraId="00000030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36"/>
          <w:szCs w:val="36"/>
        </w:rPr>
      </w:pPr>
      <w:r w:rsidDel="00000000" w:rsidR="00000000" w:rsidRPr="00000000">
        <w:rPr/>
        <w:drawing>
          <wp:inline distB="0" distT="0" distL="0" distR="0">
            <wp:extent cx="6326055" cy="4484949"/>
            <wp:effectExtent b="0" l="0" r="0" t="0"/>
            <wp:docPr id="21008316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26055" cy="44849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4472c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4472c4"/>
          <w:sz w:val="48"/>
          <w:szCs w:val="48"/>
        </w:rPr>
      </w:pPr>
      <w:r w:rsidDel="00000000" w:rsidR="00000000" w:rsidRPr="00000000">
        <w:rPr>
          <w:color w:val="4472c4"/>
          <w:sz w:val="48"/>
          <w:szCs w:val="48"/>
          <w:rtl w:val="0"/>
        </w:rPr>
        <w:t xml:space="preserve">Consideraciones técnicas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Muestreo: el método de muestreo preferido en evaluaciones rápidas es el muestreo “intencional” (purposive).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Unidad de medida: la unidad de medida preferida para el CPRA es la “comunidad”.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Reporte situacional: el reporte situacional es una parte integral de la metodología del kit CPRA.Cada contexto producirá un único informe que refleje todos los datos recopilados en ese contexto específico.</w:t>
      </w:r>
    </w:p>
    <w:p w:rsidR="00000000" w:rsidDel="00000000" w:rsidP="00000000" w:rsidRDefault="00000000" w:rsidRPr="00000000" w14:paraId="00000037">
      <w:pPr>
        <w:jc w:val="both"/>
        <w:rPr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color w:val="4472c4"/>
          <w:sz w:val="48"/>
          <w:szCs w:val="48"/>
        </w:rPr>
      </w:pPr>
      <w:r w:rsidDel="00000000" w:rsidR="00000000" w:rsidRPr="00000000">
        <w:rPr>
          <w:color w:val="4472c4"/>
          <w:sz w:val="48"/>
          <w:szCs w:val="48"/>
          <w:rtl w:val="0"/>
        </w:rPr>
        <w:t xml:space="preserve">Lecciones aprendidas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Pasos no seguidos: en muchas de las ocasiones en que se ha utilizado la herramienta, no se siguen los pasos descritos en la guía.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Selección parcial: a menudo solo se utiliza el cuestionario de entrevista a informantes clave y se descarta el resto de la herramienta.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Errores metodológicos comunes: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08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No se utiliza una estrategia de muestreo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08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No se define ni utiliza la unidad de medida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08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El cuestionario de informantes clave se utiliza para grupos focales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08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Se entrevista a niños y niñas utilizando la herramienta CPRA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080" w:hanging="360"/>
        <w:jc w:val="both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Se recopilan demasiados datos y no se utilizan reportes situacionales para reducir la carga de ingreso de datos</w:t>
      </w:r>
    </w:p>
    <w:p w:rsidR="00000000" w:rsidDel="00000000" w:rsidP="00000000" w:rsidRDefault="00000000" w:rsidRPr="00000000" w14:paraId="00000041">
      <w:pPr>
        <w:jc w:val="both"/>
        <w:rPr>
          <w:color w:val="4472c4"/>
          <w:sz w:val="48"/>
          <w:szCs w:val="4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•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52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324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96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68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40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612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840" w:hanging="3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4"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56279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56279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56279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uiPriority w:val="9"/>
    <w:rsid w:val="00562792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562792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562792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562792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562792"/>
    <w:rPr>
      <w:rFonts w:cstheme="majorBidi" w:eastAsiaTheme="majorEastAsia"/>
      <w:color w:val="2f5496" w:themeColor="accent1" w:themeShade="0000B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562792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562792"/>
    <w:rPr>
      <w:rFonts w:cstheme="majorBidi" w:eastAsiaTheme="majorEastAsia"/>
      <w:color w:val="595959" w:themeColor="text1" w:themeTint="0000A6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562792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562792"/>
    <w:rPr>
      <w:rFonts w:cstheme="majorBidi" w:eastAsiaTheme="majorEastAsia"/>
      <w:color w:val="272727" w:themeColor="text1" w:themeTint="0000D8"/>
    </w:rPr>
  </w:style>
  <w:style w:type="character" w:styleId="TitoloCarattere" w:customStyle="1">
    <w:name w:val="Titolo Carattere"/>
    <w:basedOn w:val="Carpredefinitoparagrafo"/>
    <w:link w:val="Titolo"/>
    <w:uiPriority w:val="10"/>
    <w:rsid w:val="0056279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56279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56279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562792"/>
    <w:rPr>
      <w:i w:val="1"/>
      <w:iCs w:val="1"/>
      <w:color w:val="404040" w:themeColor="text1" w:themeTint="0000BF"/>
    </w:rPr>
  </w:style>
  <w:style w:type="paragraph" w:styleId="Paragrafoelenco">
    <w:name w:val="List Paragraph"/>
    <w:basedOn w:val="Normale"/>
    <w:uiPriority w:val="34"/>
    <w:qFormat w:val="1"/>
    <w:rsid w:val="00562792"/>
    <w:pPr>
      <w:ind w:left="720"/>
      <w:contextualSpacing w:val="1"/>
    </w:pPr>
  </w:style>
  <w:style w:type="character" w:styleId="Enfasiintensa">
    <w:name w:val="Intense Emphasis"/>
    <w:basedOn w:val="Carpredefinitoparagrafo"/>
    <w:uiPriority w:val="21"/>
    <w:qFormat w:val="1"/>
    <w:rsid w:val="00562792"/>
    <w:rPr>
      <w:i w:val="1"/>
      <w:iCs w:val="1"/>
      <w:color w:val="2f5496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562792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562792"/>
    <w:rPr>
      <w:i w:val="1"/>
      <w:iCs w:val="1"/>
      <w:color w:val="2f5496" w:themeColor="accent1" w:themeShade="0000BF"/>
    </w:rPr>
  </w:style>
  <w:style w:type="character" w:styleId="Riferimentointenso">
    <w:name w:val="Intense Reference"/>
    <w:basedOn w:val="Carpredefinitoparagrafo"/>
    <w:uiPriority w:val="32"/>
    <w:qFormat w:val="1"/>
    <w:rsid w:val="00562792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6WMY71IATfiiLYueeoMoRRATuw==">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2026-02-05T18:38:00Z</dcterms:created>
  <dc:creator>Elena Giannini</dc:creator>
</cp:coreProperties>
</file>